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1EC7" w:rsidRDefault="001267E7">
      <w:pPr>
        <w:jc w:val="center"/>
        <w:rPr>
          <w:rFonts w:ascii="楷体_GB2312" w:eastAsia="楷体_GB2312" w:hAnsi="Heiti SC Medium"/>
          <w:sz w:val="32"/>
          <w:szCs w:val="32"/>
        </w:rPr>
      </w:pPr>
      <w:r>
        <w:rPr>
          <w:rFonts w:ascii="方正小标宋简体" w:eastAsia="方正小标宋简体" w:hAnsi="Heiti SC Medium" w:hint="eastAsia"/>
          <w:sz w:val="44"/>
          <w:szCs w:val="44"/>
        </w:rPr>
        <w:t>厦门大学新闻传播学院“林念生奖学金”评选办法</w:t>
      </w:r>
    </w:p>
    <w:p w:rsidR="00BF1EC7" w:rsidRDefault="00BF1EC7"/>
    <w:p w:rsidR="00BF1EC7" w:rsidRDefault="001267E7">
      <w:pPr>
        <w:spacing w:line="360" w:lineRule="auto"/>
        <w:ind w:firstLineChars="200" w:firstLine="64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为支持厦门大学新闻传播学院学科建设和人才培养，激励广播电视学专业品学兼优且创作实践能力突出的学生，林念生教授出资在厦门大学新闻传播学院设立“林念生奖学金”。</w:t>
      </w:r>
    </w:p>
    <w:p w:rsidR="00BF1EC7" w:rsidRDefault="001267E7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一、评奖对象和评奖名额</w:t>
      </w:r>
    </w:p>
    <w:p w:rsidR="00BF1EC7" w:rsidRDefault="001267E7">
      <w:pPr>
        <w:spacing w:line="360" w:lineRule="auto"/>
        <w:ind w:firstLine="600"/>
        <w:rPr>
          <w:rFonts w:ascii="仿宋_GB2312" w:eastAsia="仿宋_GB2312" w:hAnsi="FangSong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“林念生奖学金”自2020年起设立，每年评选5名新闻传播学院广播电视学专业的本科生（二年级及以上），每名奖励金额人民币</w:t>
      </w:r>
      <w:r>
        <w:rPr>
          <w:rFonts w:ascii="仿宋_GB2312" w:eastAsia="仿宋_GB2312" w:hAnsi="FangSong"/>
          <w:sz w:val="32"/>
          <w:szCs w:val="32"/>
        </w:rPr>
        <w:t>5</w:t>
      </w:r>
      <w:r>
        <w:rPr>
          <w:rFonts w:ascii="仿宋_GB2312" w:eastAsia="仿宋_GB2312" w:hAnsi="FangSong" w:hint="eastAsia"/>
          <w:sz w:val="32"/>
          <w:szCs w:val="32"/>
        </w:rPr>
        <w:t>000元。</w:t>
      </w:r>
    </w:p>
    <w:p w:rsidR="00D70DFE" w:rsidRDefault="00D70DFE">
      <w:pPr>
        <w:spacing w:line="360" w:lineRule="auto"/>
        <w:ind w:firstLine="600"/>
        <w:rPr>
          <w:rFonts w:ascii="仿宋_GB2312" w:eastAsia="仿宋_GB2312" w:hAnsi="FangSong" w:hint="eastAsia"/>
          <w:sz w:val="32"/>
          <w:szCs w:val="32"/>
        </w:rPr>
      </w:pPr>
      <w:bookmarkStart w:id="0" w:name="_GoBack"/>
      <w:bookmarkEnd w:id="0"/>
    </w:p>
    <w:p w:rsidR="00BF1EC7" w:rsidRDefault="001267E7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二、评选条件</w:t>
      </w:r>
    </w:p>
    <w:p w:rsidR="00BF1EC7" w:rsidRDefault="001267E7">
      <w:pPr>
        <w:spacing w:line="360" w:lineRule="auto"/>
        <w:ind w:firstLine="60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（一）热爱社会主义祖国，拥护中国共产党的领导；</w:t>
      </w:r>
    </w:p>
    <w:p w:rsidR="00BF1EC7" w:rsidRDefault="001267E7">
      <w:pPr>
        <w:spacing w:line="360" w:lineRule="auto"/>
        <w:ind w:firstLine="60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（二）遵守宪法和法律，遵守学校规章制度，在校期间无违法违纪行为；</w:t>
      </w:r>
    </w:p>
    <w:p w:rsidR="00BF1EC7" w:rsidRDefault="001267E7">
      <w:pPr>
        <w:spacing w:line="360" w:lineRule="auto"/>
        <w:ind w:firstLine="60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（三）诚实守信，道德品质优良；</w:t>
      </w:r>
    </w:p>
    <w:p w:rsidR="00BF1EC7" w:rsidRDefault="001267E7">
      <w:pPr>
        <w:spacing w:line="360" w:lineRule="auto"/>
        <w:ind w:firstLine="60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（四）学习成绩优秀，应修课程（包括往年应当重修的课程，全校性选修课不计在内）全部合格；</w:t>
      </w:r>
    </w:p>
    <w:p w:rsidR="00BF1EC7" w:rsidRDefault="001267E7">
      <w:pPr>
        <w:spacing w:line="360" w:lineRule="auto"/>
        <w:ind w:firstLine="60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（五）在视频制作方面有想法、有潜力，并取得优秀成果（评分细则见附件）。</w:t>
      </w:r>
    </w:p>
    <w:p w:rsidR="00BF1EC7" w:rsidRDefault="00BF1EC7">
      <w:pPr>
        <w:spacing w:line="360" w:lineRule="auto"/>
        <w:ind w:firstLineChars="200" w:firstLine="640"/>
        <w:rPr>
          <w:rFonts w:ascii="仿宋_GB2312" w:eastAsia="仿宋_GB2312" w:hAnsi="FangSong" w:hint="eastAsia"/>
          <w:b/>
          <w:sz w:val="32"/>
          <w:szCs w:val="32"/>
        </w:rPr>
      </w:pPr>
    </w:p>
    <w:p w:rsidR="00BF1EC7" w:rsidRDefault="001267E7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三、评审委员会</w:t>
      </w:r>
    </w:p>
    <w:p w:rsidR="00BF1EC7" w:rsidRDefault="001267E7">
      <w:pPr>
        <w:spacing w:line="360" w:lineRule="auto"/>
        <w:ind w:firstLineChars="200" w:firstLine="64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新闻传播学院成立</w:t>
      </w:r>
      <w:bookmarkStart w:id="1" w:name="OLE_LINK1"/>
      <w:bookmarkStart w:id="2" w:name="OLE_LINK2"/>
      <w:r>
        <w:rPr>
          <w:rFonts w:ascii="仿宋_GB2312" w:eastAsia="仿宋_GB2312" w:hAnsi="FangSong" w:hint="eastAsia"/>
          <w:sz w:val="32"/>
          <w:szCs w:val="32"/>
        </w:rPr>
        <w:t>“林念生奖学金”评审委员会</w:t>
      </w:r>
      <w:bookmarkEnd w:id="1"/>
      <w:bookmarkEnd w:id="2"/>
      <w:r>
        <w:rPr>
          <w:rFonts w:ascii="仿宋_GB2312" w:eastAsia="仿宋_GB2312" w:hAnsi="FangSong" w:hint="eastAsia"/>
          <w:sz w:val="32"/>
          <w:szCs w:val="32"/>
        </w:rPr>
        <w:t>，由主管本科生学生工作和教学工作的院领导担任主任，小组成员为新闻学系分管教学的系领导、辅导员、班主任、教学秘书，负责“林念生奖学金”的评审工作。</w:t>
      </w:r>
    </w:p>
    <w:p w:rsidR="00BF1EC7" w:rsidRDefault="001267E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四、评审程序</w:t>
      </w:r>
    </w:p>
    <w:p w:rsidR="00BF1EC7" w:rsidRDefault="001267E7">
      <w:pPr>
        <w:ind w:firstLineChars="200" w:firstLine="64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（一）学院发布评奖通知；</w:t>
      </w:r>
    </w:p>
    <w:p w:rsidR="00BF1EC7" w:rsidRDefault="001267E7">
      <w:pPr>
        <w:ind w:firstLineChars="200" w:firstLine="64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（二）学生根据通知和评审办法在规定的时间内进行申报；</w:t>
      </w:r>
    </w:p>
    <w:p w:rsidR="00BF1EC7" w:rsidRDefault="001267E7">
      <w:pPr>
        <w:ind w:firstLineChars="200" w:firstLine="64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（三）“林念生奖学金”评审委员会召开评审会议，确定获奖名单，并在全院范围内公示三天；</w:t>
      </w:r>
    </w:p>
    <w:p w:rsidR="00BF1EC7" w:rsidRDefault="001267E7">
      <w:pPr>
        <w:ind w:firstLineChars="200" w:firstLine="64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（四）学院发文表彰，并发放奖学金和获奖证书。</w:t>
      </w:r>
    </w:p>
    <w:p w:rsidR="00BF1EC7" w:rsidRDefault="001267E7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五、有下列行为之一者，将给予严肃处理</w:t>
      </w:r>
    </w:p>
    <w:p w:rsidR="00BF1EC7" w:rsidRDefault="001267E7">
      <w:pPr>
        <w:spacing w:line="360" w:lineRule="auto"/>
        <w:ind w:firstLineChars="200" w:firstLine="64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（一）在评奖过程中，凡发现有弄虚作假者，取消评奖资格，视情节给予纪律处分，并不得参加下一学年度的评奖；</w:t>
      </w:r>
    </w:p>
    <w:p w:rsidR="00BF1EC7" w:rsidRDefault="001267E7">
      <w:pPr>
        <w:spacing w:line="360" w:lineRule="auto"/>
        <w:ind w:firstLine="645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（二）颁奖后，凡发现有弄虚作假者，撤销其获得的奖学金，追缴已发放的奖学金和收回获奖证书，视情节给予纪律处分，并不得参加下一学年度的评奖。</w:t>
      </w:r>
    </w:p>
    <w:p w:rsidR="00BF1EC7" w:rsidRDefault="001267E7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六、所有获奖学生需提交感谢信。</w:t>
      </w:r>
    </w:p>
    <w:p w:rsidR="00BF1EC7" w:rsidRDefault="001267E7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七、本评选办法由厦门大学新闻传播学院“林念生奖学金”评审委员会负责解释。</w:t>
      </w:r>
    </w:p>
    <w:p w:rsidR="00BF1EC7" w:rsidRDefault="001267E7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八、本评选办法自公布之日起施行。</w:t>
      </w:r>
    </w:p>
    <w:p w:rsidR="00BF1EC7" w:rsidRDefault="00BF1EC7" w:rsidP="00D70DFE">
      <w:pPr>
        <w:spacing w:line="360" w:lineRule="auto"/>
        <w:rPr>
          <w:rFonts w:ascii="仿宋_GB2312" w:eastAsia="仿宋_GB2312" w:hAnsi="FangSong" w:hint="eastAsia"/>
          <w:sz w:val="32"/>
          <w:szCs w:val="32"/>
        </w:rPr>
      </w:pPr>
    </w:p>
    <w:p w:rsidR="00BF1EC7" w:rsidRDefault="001267E7">
      <w:pPr>
        <w:spacing w:line="360" w:lineRule="auto"/>
        <w:ind w:firstLineChars="200" w:firstLine="640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附件：厦门大学新闻传播学院“林念生奖学金”评分细则</w:t>
      </w:r>
    </w:p>
    <w:p w:rsidR="00BF1EC7" w:rsidRDefault="00BF1EC7">
      <w:pPr>
        <w:spacing w:line="360" w:lineRule="auto"/>
        <w:rPr>
          <w:rFonts w:ascii="仿宋_GB2312" w:eastAsia="仿宋_GB2312" w:hAnsi="FangSong" w:hint="eastAsia"/>
          <w:sz w:val="32"/>
          <w:szCs w:val="32"/>
        </w:rPr>
      </w:pPr>
    </w:p>
    <w:p w:rsidR="00BF1EC7" w:rsidRDefault="00BF1EC7">
      <w:pPr>
        <w:spacing w:line="360" w:lineRule="auto"/>
        <w:rPr>
          <w:rFonts w:ascii="仿宋_GB2312" w:eastAsia="仿宋_GB2312" w:hAnsi="FangSong" w:hint="eastAsia"/>
          <w:sz w:val="32"/>
          <w:szCs w:val="32"/>
        </w:rPr>
      </w:pPr>
    </w:p>
    <w:p w:rsidR="00BF1EC7" w:rsidRDefault="001267E7">
      <w:pPr>
        <w:spacing w:line="360" w:lineRule="auto"/>
        <w:jc w:val="right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厦门大学新闻传播学院</w:t>
      </w:r>
    </w:p>
    <w:p w:rsidR="00BF1EC7" w:rsidRDefault="001267E7" w:rsidP="001267E7">
      <w:pPr>
        <w:spacing w:line="360" w:lineRule="auto"/>
        <w:ind w:right="640"/>
        <w:jc w:val="right"/>
        <w:rPr>
          <w:rFonts w:ascii="仿宋_GB2312" w:eastAsia="仿宋_GB2312" w:hAnsi="FangSong" w:hint="eastAsia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2020年5月</w:t>
      </w:r>
    </w:p>
    <w:p w:rsidR="001267E7" w:rsidRPr="001267E7" w:rsidRDefault="001267E7" w:rsidP="001267E7">
      <w:pPr>
        <w:spacing w:line="360" w:lineRule="auto"/>
        <w:ind w:right="640"/>
        <w:jc w:val="right"/>
        <w:rPr>
          <w:rFonts w:ascii="仿宋_GB2312" w:eastAsia="仿宋_GB2312" w:hAnsi="FangSong" w:hint="eastAsia"/>
          <w:sz w:val="32"/>
          <w:szCs w:val="32"/>
        </w:rPr>
      </w:pPr>
    </w:p>
    <w:p w:rsidR="001267E7" w:rsidRDefault="001267E7">
      <w:pPr>
        <w:widowControl/>
        <w:jc w:val="left"/>
        <w:rPr>
          <w:rFonts w:ascii="FangSong" w:hAnsi="FangSong" w:hint="eastAsia"/>
          <w:sz w:val="30"/>
          <w:szCs w:val="30"/>
        </w:rPr>
      </w:pPr>
      <w:r>
        <w:rPr>
          <w:rFonts w:ascii="FangSong" w:hAnsi="FangSong" w:hint="eastAsia"/>
          <w:sz w:val="30"/>
          <w:szCs w:val="30"/>
        </w:rPr>
        <w:br w:type="page"/>
      </w:r>
    </w:p>
    <w:p w:rsidR="00BF1EC7" w:rsidRPr="001267E7" w:rsidRDefault="001267E7" w:rsidP="001267E7">
      <w:pPr>
        <w:widowControl/>
        <w:jc w:val="left"/>
        <w:rPr>
          <w:rFonts w:ascii="FangSong" w:hAnsi="FangSong" w:hint="eastAsia"/>
          <w:sz w:val="30"/>
          <w:szCs w:val="30"/>
        </w:rPr>
      </w:pPr>
      <w:r>
        <w:rPr>
          <w:rFonts w:ascii="黑体" w:eastAsia="黑体" w:hAnsi="黑体" w:cs="Times New Roman" w:hint="eastAsia"/>
          <w:sz w:val="32"/>
          <w:szCs w:val="32"/>
        </w:rPr>
        <w:lastRenderedPageBreak/>
        <w:t>附件：</w:t>
      </w:r>
    </w:p>
    <w:p w:rsidR="00BF1EC7" w:rsidRDefault="001267E7">
      <w:pPr>
        <w:snapToGrid w:val="0"/>
        <w:spacing w:line="360" w:lineRule="auto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>
        <w:rPr>
          <w:rFonts w:ascii="方正小标宋简体" w:eastAsia="方正小标宋简体" w:hAnsi="黑体" w:cs="Times New Roman" w:hint="eastAsia"/>
          <w:sz w:val="44"/>
          <w:szCs w:val="44"/>
        </w:rPr>
        <w:t>厦门大学新闻传播学院“林念生奖学金”评分细则</w:t>
      </w:r>
    </w:p>
    <w:p w:rsidR="00BF1EC7" w:rsidRDefault="001267E7">
      <w:pPr>
        <w:snapToGrid w:val="0"/>
        <w:spacing w:line="360" w:lineRule="auto"/>
        <w:ind w:firstLineChars="198" w:firstLine="634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一、竞赛分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创作的视频作品参加国家级、省市级、校级和院级的比赛，计分方法：</w:t>
      </w:r>
    </w:p>
    <w:tbl>
      <w:tblPr>
        <w:tblW w:w="80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5"/>
        <w:gridCol w:w="1615"/>
        <w:gridCol w:w="1615"/>
        <w:gridCol w:w="1615"/>
        <w:gridCol w:w="1615"/>
      </w:tblGrid>
      <w:tr w:rsidR="00BF1EC7">
        <w:trPr>
          <w:jc w:val="center"/>
        </w:trPr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等级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国家级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省市级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校级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院级</w:t>
            </w:r>
          </w:p>
        </w:tc>
      </w:tr>
      <w:tr w:rsidR="00BF1EC7">
        <w:trPr>
          <w:jc w:val="center"/>
        </w:trPr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一等奖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5分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3分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2分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1分</w:t>
            </w:r>
          </w:p>
        </w:tc>
      </w:tr>
      <w:tr w:rsidR="00BF1EC7">
        <w:trPr>
          <w:jc w:val="center"/>
        </w:trPr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二等奖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3分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2分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1分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0.5分</w:t>
            </w:r>
          </w:p>
        </w:tc>
      </w:tr>
      <w:tr w:rsidR="00BF1EC7">
        <w:trPr>
          <w:jc w:val="center"/>
        </w:trPr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三等奖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2分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1分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0.5分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0.25分</w:t>
            </w:r>
          </w:p>
        </w:tc>
      </w:tr>
      <w:tr w:rsidR="00BF1EC7">
        <w:trPr>
          <w:jc w:val="center"/>
        </w:trPr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优秀奖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1分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0.5分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0.25分</w:t>
            </w:r>
          </w:p>
        </w:tc>
        <w:tc>
          <w:tcPr>
            <w:tcW w:w="1615" w:type="dxa"/>
            <w:vAlign w:val="center"/>
          </w:tcPr>
          <w:p w:rsidR="00BF1EC7" w:rsidRDefault="001267E7">
            <w:pPr>
              <w:widowControl/>
              <w:snapToGrid w:val="0"/>
              <w:spacing w:line="360" w:lineRule="auto"/>
              <w:jc w:val="center"/>
              <w:rPr>
                <w:rFonts w:ascii="仿宋_GB2312" w:eastAsia="仿宋_GB2312" w:hAnsi="宋体" w:cs="Times New Roman"/>
                <w:sz w:val="32"/>
                <w:szCs w:val="32"/>
              </w:rPr>
            </w:pPr>
            <w:r>
              <w:rPr>
                <w:rFonts w:ascii="仿宋_GB2312" w:eastAsia="仿宋_GB2312" w:hAnsi="宋体" w:cs="Times New Roman" w:hint="eastAsia"/>
                <w:sz w:val="32"/>
                <w:szCs w:val="32"/>
              </w:rPr>
              <w:t>0.1分</w:t>
            </w:r>
          </w:p>
        </w:tc>
      </w:tr>
    </w:tbl>
    <w:p w:rsidR="00BF1EC7" w:rsidRDefault="00BF1EC7">
      <w:pPr>
        <w:widowControl/>
        <w:snapToGrid w:val="0"/>
        <w:spacing w:line="360" w:lineRule="auto"/>
        <w:jc w:val="lef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其中，1-3名为一等奖，4-6名为二等奖，7-10名为三等奖。同一竞赛成果获得多级别奖项，应按最高奖项给分，不累加。</w:t>
      </w:r>
      <w:r>
        <w:rPr>
          <w:rFonts w:ascii="仿宋_GB2312" w:eastAsia="仿宋_GB2312" w:hAnsi="宋体" w:cs="Times New Roman" w:hint="eastAsia"/>
          <w:bCs/>
          <w:sz w:val="32"/>
          <w:szCs w:val="32"/>
        </w:rPr>
        <w:t>国家级、省市级奖项必须具有真实性，权威性，对于一些无从考证其正规性和权威性的奖项，不予加分。</w:t>
      </w:r>
    </w:p>
    <w:p w:rsidR="00BF1EC7" w:rsidRDefault="001267E7">
      <w:pPr>
        <w:snapToGrid w:val="0"/>
        <w:spacing w:line="360" w:lineRule="auto"/>
        <w:ind w:firstLineChars="198" w:firstLine="634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二、作品分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lastRenderedPageBreak/>
        <w:t>①在公开刊物和政府部门主办的媒体上发表的视频等作品，按国家级、省级、市级、校级、院级分别加3分、2分、1分、0.5分、0.25分；若同一视频作品，在多个级别的媒体上发表，则按照最高媒体平台予以加分。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fldChar w:fldCharType="begin"/>
      </w:r>
      <w:r>
        <w:rPr>
          <w:rFonts w:ascii="仿宋_GB2312" w:eastAsia="仿宋_GB2312" w:hAnsi="宋体" w:cs="Times New Roman" w:hint="eastAsia"/>
          <w:sz w:val="32"/>
          <w:szCs w:val="32"/>
        </w:rPr>
        <w:instrText xml:space="preserve"> = 2 \* GB3 </w:instrText>
      </w:r>
      <w:r>
        <w:rPr>
          <w:rFonts w:ascii="仿宋_GB2312" w:eastAsia="仿宋_GB2312" w:hAnsi="宋体" w:cs="Times New Roman" w:hint="eastAsia"/>
          <w:sz w:val="32"/>
          <w:szCs w:val="32"/>
        </w:rPr>
        <w:fldChar w:fldCharType="separate"/>
      </w:r>
      <w:r>
        <w:rPr>
          <w:rFonts w:ascii="仿宋_GB2312" w:eastAsia="仿宋_GB2312" w:hAnsi="宋体" w:cs="Times New Roman" w:hint="eastAsia"/>
          <w:sz w:val="32"/>
          <w:szCs w:val="32"/>
        </w:rPr>
        <w:t>②</w:t>
      </w:r>
      <w:r>
        <w:rPr>
          <w:rFonts w:ascii="仿宋_GB2312" w:eastAsia="仿宋_GB2312" w:hAnsi="宋体" w:cs="Times New Roman" w:hint="eastAsia"/>
          <w:sz w:val="32"/>
          <w:szCs w:val="32"/>
        </w:rPr>
        <w:fldChar w:fldCharType="end"/>
      </w:r>
      <w:r>
        <w:rPr>
          <w:rFonts w:ascii="仿宋_GB2312" w:eastAsia="仿宋_GB2312" w:hAnsi="宋体" w:cs="Times New Roman" w:hint="eastAsia"/>
          <w:sz w:val="32"/>
          <w:szCs w:val="32"/>
        </w:rPr>
        <w:t>视频作品参与政府部门、主流媒体、行业学会和高校举办的影视展，按国家级、省级、市级、校级、院级分别加3分、2分、1分、0.5分、0.25分；若同一视频作品，参与多个级别的影视展，则按照最高级别予以加。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fldChar w:fldCharType="begin"/>
      </w:r>
      <w:r>
        <w:rPr>
          <w:rFonts w:ascii="仿宋_GB2312" w:eastAsia="仿宋_GB2312" w:hAnsi="宋体" w:cs="Times New Roman" w:hint="eastAsia"/>
          <w:sz w:val="32"/>
          <w:szCs w:val="32"/>
        </w:rPr>
        <w:instrText xml:space="preserve"> = 3 \* GB3 </w:instrText>
      </w:r>
      <w:r>
        <w:rPr>
          <w:rFonts w:ascii="仿宋_GB2312" w:eastAsia="仿宋_GB2312" w:hAnsi="宋体" w:cs="Times New Roman" w:hint="eastAsia"/>
          <w:sz w:val="32"/>
          <w:szCs w:val="32"/>
        </w:rPr>
        <w:fldChar w:fldCharType="separate"/>
      </w:r>
      <w:r>
        <w:rPr>
          <w:rFonts w:ascii="仿宋_GB2312" w:eastAsia="仿宋_GB2312" w:hAnsi="宋体" w:cs="Times New Roman" w:hint="eastAsia"/>
          <w:sz w:val="32"/>
          <w:szCs w:val="32"/>
        </w:rPr>
        <w:t>③</w:t>
      </w:r>
      <w:r>
        <w:rPr>
          <w:rFonts w:ascii="仿宋_GB2312" w:eastAsia="仿宋_GB2312" w:hAnsi="宋体" w:cs="Times New Roman" w:hint="eastAsia"/>
          <w:sz w:val="32"/>
          <w:szCs w:val="32"/>
        </w:rPr>
        <w:fldChar w:fldCharType="end"/>
      </w:r>
      <w:r>
        <w:rPr>
          <w:rFonts w:ascii="仿宋_GB2312" w:eastAsia="仿宋_GB2312" w:hAnsi="宋体" w:cs="Times New Roman" w:hint="eastAsia"/>
          <w:sz w:val="32"/>
          <w:szCs w:val="32"/>
        </w:rPr>
        <w:t>视频作品发布于正规视频平台，按视频点击量予以加分，总点击量达二十万、十万、五万、一万分别加3分、2分、1分、0.5分；同一作品在各个平台的点击量需累计计算总量。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三、记分方式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fldChar w:fldCharType="begin"/>
      </w:r>
      <w:r>
        <w:rPr>
          <w:rFonts w:ascii="仿宋_GB2312" w:eastAsia="仿宋_GB2312" w:hAnsi="宋体" w:cs="Times New Roman" w:hint="eastAsia"/>
          <w:sz w:val="32"/>
          <w:szCs w:val="32"/>
        </w:rPr>
        <w:instrText xml:space="preserve"> = 1 \* GB3 </w:instrText>
      </w:r>
      <w:r>
        <w:rPr>
          <w:rFonts w:ascii="仿宋_GB2312" w:eastAsia="仿宋_GB2312" w:hAnsi="宋体" w:cs="Times New Roman" w:hint="eastAsia"/>
          <w:sz w:val="32"/>
          <w:szCs w:val="32"/>
        </w:rPr>
        <w:fldChar w:fldCharType="separate"/>
      </w:r>
      <w:r>
        <w:rPr>
          <w:rFonts w:ascii="仿宋_GB2312" w:eastAsia="仿宋_GB2312" w:hAnsi="宋体" w:cs="Times New Roman" w:hint="eastAsia"/>
          <w:sz w:val="32"/>
          <w:szCs w:val="32"/>
        </w:rPr>
        <w:t>①</w:t>
      </w:r>
      <w:r>
        <w:rPr>
          <w:rFonts w:ascii="仿宋_GB2312" w:eastAsia="仿宋_GB2312" w:hAnsi="宋体" w:cs="Times New Roman" w:hint="eastAsia"/>
          <w:sz w:val="32"/>
          <w:szCs w:val="32"/>
        </w:rPr>
        <w:fldChar w:fldCharType="end"/>
      </w:r>
      <w:r>
        <w:rPr>
          <w:rFonts w:ascii="仿宋_GB2312" w:eastAsia="仿宋_GB2312" w:hAnsi="宋体" w:cs="Times New Roman" w:hint="eastAsia"/>
          <w:sz w:val="32"/>
          <w:szCs w:val="32"/>
        </w:rPr>
        <w:t>同一视频作品，可同时计算竞赛分和作品分，也可同时计算媒体平台分、影视展分和点击量分。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fldChar w:fldCharType="begin"/>
      </w:r>
      <w:r>
        <w:rPr>
          <w:rFonts w:ascii="仿宋_GB2312" w:eastAsia="仿宋_GB2312" w:hAnsi="宋体" w:cs="Times New Roman" w:hint="eastAsia"/>
          <w:sz w:val="32"/>
          <w:szCs w:val="32"/>
        </w:rPr>
        <w:instrText xml:space="preserve"> = 2 \* GB3 </w:instrText>
      </w:r>
      <w:r>
        <w:rPr>
          <w:rFonts w:ascii="仿宋_GB2312" w:eastAsia="仿宋_GB2312" w:hAnsi="宋体" w:cs="Times New Roman" w:hint="eastAsia"/>
          <w:sz w:val="32"/>
          <w:szCs w:val="32"/>
        </w:rPr>
        <w:fldChar w:fldCharType="separate"/>
      </w:r>
      <w:r>
        <w:rPr>
          <w:rFonts w:ascii="仿宋_GB2312" w:eastAsia="仿宋_GB2312" w:hAnsi="宋体" w:cs="Times New Roman" w:hint="eastAsia"/>
          <w:sz w:val="32"/>
          <w:szCs w:val="32"/>
        </w:rPr>
        <w:t>②</w:t>
      </w:r>
      <w:r>
        <w:rPr>
          <w:rFonts w:ascii="仿宋_GB2312" w:eastAsia="仿宋_GB2312" w:hAnsi="宋体" w:cs="Times New Roman" w:hint="eastAsia"/>
          <w:sz w:val="32"/>
          <w:szCs w:val="32"/>
        </w:rPr>
        <w:fldChar w:fldCharType="end"/>
      </w:r>
      <w:r>
        <w:rPr>
          <w:rFonts w:ascii="仿宋_GB2312" w:eastAsia="仿宋_GB2312" w:hAnsi="宋体" w:cs="Times New Roman" w:hint="eastAsia"/>
          <w:sz w:val="32"/>
          <w:szCs w:val="32"/>
        </w:rPr>
        <w:t>视频为个人作品的，按以上各项的满分计算。视频为合作作品的，以个人作品计分方法为标准，按照署名顺序分</w:t>
      </w:r>
      <w:r>
        <w:rPr>
          <w:rFonts w:ascii="仿宋_GB2312" w:eastAsia="仿宋_GB2312" w:hAnsi="宋体" w:cs="Times New Roman" w:hint="eastAsia"/>
          <w:sz w:val="32"/>
          <w:szCs w:val="32"/>
        </w:rPr>
        <w:lastRenderedPageBreak/>
        <w:t>摊记分。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二人合作的，按6：4分摊；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三人以上合作的，按以下公式进行计算：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当</w:t>
      </w:r>
      <w:proofErr w:type="spellStart"/>
      <w:r>
        <w:rPr>
          <w:rFonts w:ascii="仿宋_GB2312" w:eastAsia="仿宋_GB2312" w:hAnsi="宋体" w:cs="Times New Roman" w:hint="eastAsia"/>
          <w:sz w:val="32"/>
          <w:szCs w:val="32"/>
        </w:rPr>
        <w:t>i</w:t>
      </w:r>
      <w:proofErr w:type="spellEnd"/>
      <w:r>
        <w:rPr>
          <w:rFonts w:ascii="仿宋_GB2312" w:eastAsia="仿宋_GB2312" w:hAnsi="宋体" w:cs="Times New Roman" w:hint="eastAsia"/>
          <w:sz w:val="32"/>
          <w:szCs w:val="32"/>
        </w:rPr>
        <w:t xml:space="preserve">≤N-2时  </w:t>
      </w:r>
      <w:proofErr w:type="spellStart"/>
      <w:r>
        <w:rPr>
          <w:rFonts w:ascii="仿宋_GB2312" w:eastAsia="仿宋_GB2312" w:hAnsi="宋体" w:cs="Times New Roman" w:hint="eastAsia"/>
          <w:sz w:val="32"/>
          <w:szCs w:val="32"/>
        </w:rPr>
        <w:t>a</w:t>
      </w:r>
      <w:r>
        <w:rPr>
          <w:rFonts w:ascii="仿宋_GB2312" w:eastAsia="仿宋_GB2312" w:hAnsi="宋体" w:cs="Times New Roman" w:hint="eastAsia"/>
          <w:sz w:val="32"/>
          <w:szCs w:val="32"/>
          <w:vertAlign w:val="subscript"/>
        </w:rPr>
        <w:t>i</w:t>
      </w:r>
      <w:proofErr w:type="spellEnd"/>
      <w:r>
        <w:rPr>
          <w:rFonts w:ascii="仿宋_GB2312" w:eastAsia="仿宋_GB2312" w:hAnsi="宋体" w:cs="Times New Roman" w:hint="eastAsia"/>
          <w:sz w:val="32"/>
          <w:szCs w:val="32"/>
        </w:rPr>
        <w:t>=0.5</w:t>
      </w:r>
      <w:r>
        <w:rPr>
          <w:rFonts w:ascii="仿宋_GB2312" w:eastAsia="仿宋_GB2312" w:hAnsi="宋体" w:cs="Times New Roman" w:hint="eastAsia"/>
          <w:sz w:val="32"/>
          <w:szCs w:val="32"/>
          <w:vertAlign w:val="superscript"/>
        </w:rPr>
        <w:t>i</w:t>
      </w:r>
      <w:r>
        <w:rPr>
          <w:rFonts w:ascii="仿宋_GB2312" w:eastAsia="仿宋_GB2312" w:hAnsi="宋体" w:cs="Times New Roman" w:hint="eastAsia"/>
          <w:sz w:val="32"/>
          <w:szCs w:val="32"/>
        </w:rPr>
        <w:t>；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当</w:t>
      </w:r>
      <w:proofErr w:type="spellStart"/>
      <w:r>
        <w:rPr>
          <w:rFonts w:ascii="仿宋_GB2312" w:eastAsia="仿宋_GB2312" w:hAnsi="宋体" w:cs="Times New Roman" w:hint="eastAsia"/>
          <w:sz w:val="32"/>
          <w:szCs w:val="32"/>
        </w:rPr>
        <w:t>i</w:t>
      </w:r>
      <w:proofErr w:type="spellEnd"/>
      <w:r>
        <w:rPr>
          <w:rFonts w:ascii="仿宋_GB2312" w:eastAsia="仿宋_GB2312" w:hAnsi="宋体" w:cs="Times New Roman" w:hint="eastAsia"/>
          <w:sz w:val="32"/>
          <w:szCs w:val="32"/>
        </w:rPr>
        <w:t xml:space="preserve">=N-1时  </w:t>
      </w:r>
      <w:proofErr w:type="spellStart"/>
      <w:r>
        <w:rPr>
          <w:rFonts w:ascii="仿宋_GB2312" w:eastAsia="仿宋_GB2312" w:hAnsi="宋体" w:cs="Times New Roman" w:hint="eastAsia"/>
          <w:sz w:val="32"/>
          <w:szCs w:val="32"/>
        </w:rPr>
        <w:t>a</w:t>
      </w:r>
      <w:r>
        <w:rPr>
          <w:rFonts w:ascii="仿宋_GB2312" w:eastAsia="仿宋_GB2312" w:hAnsi="宋体" w:cs="Times New Roman" w:hint="eastAsia"/>
          <w:sz w:val="32"/>
          <w:szCs w:val="32"/>
          <w:vertAlign w:val="subscript"/>
        </w:rPr>
        <w:t>i</w:t>
      </w:r>
      <w:proofErr w:type="spellEnd"/>
      <w:r>
        <w:rPr>
          <w:rFonts w:ascii="仿宋_GB2312" w:eastAsia="仿宋_GB2312" w:hAnsi="宋体" w:cs="Times New Roman" w:hint="eastAsia"/>
          <w:sz w:val="32"/>
          <w:szCs w:val="32"/>
        </w:rPr>
        <w:t>=0.5</w:t>
      </w:r>
      <w:r>
        <w:rPr>
          <w:rFonts w:ascii="仿宋_GB2312" w:eastAsia="仿宋_GB2312" w:hAnsi="宋体" w:cs="Times New Roman" w:hint="eastAsia"/>
          <w:sz w:val="32"/>
          <w:szCs w:val="32"/>
          <w:vertAlign w:val="superscript"/>
        </w:rPr>
        <w:t>N-3</w:t>
      </w:r>
      <w:r>
        <w:rPr>
          <w:rFonts w:ascii="仿宋_GB2312" w:eastAsia="仿宋_GB2312" w:hAnsi="宋体" w:cs="Times New Roman" w:hint="eastAsia"/>
          <w:sz w:val="32"/>
          <w:szCs w:val="32"/>
        </w:rPr>
        <w:t>×0.3；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当</w:t>
      </w:r>
      <w:proofErr w:type="spellStart"/>
      <w:r>
        <w:rPr>
          <w:rFonts w:ascii="仿宋_GB2312" w:eastAsia="仿宋_GB2312" w:hAnsi="宋体" w:cs="Times New Roman" w:hint="eastAsia"/>
          <w:sz w:val="32"/>
          <w:szCs w:val="32"/>
        </w:rPr>
        <w:t>i</w:t>
      </w:r>
      <w:proofErr w:type="spellEnd"/>
      <w:r>
        <w:rPr>
          <w:rFonts w:ascii="仿宋_GB2312" w:eastAsia="仿宋_GB2312" w:hAnsi="宋体" w:cs="Times New Roman" w:hint="eastAsia"/>
          <w:sz w:val="32"/>
          <w:szCs w:val="32"/>
        </w:rPr>
        <w:t xml:space="preserve">=N时    </w:t>
      </w:r>
      <w:proofErr w:type="spellStart"/>
      <w:r>
        <w:rPr>
          <w:rFonts w:ascii="仿宋_GB2312" w:eastAsia="仿宋_GB2312" w:hAnsi="宋体" w:cs="Times New Roman" w:hint="eastAsia"/>
          <w:sz w:val="32"/>
          <w:szCs w:val="32"/>
        </w:rPr>
        <w:t>a</w:t>
      </w:r>
      <w:r>
        <w:rPr>
          <w:rFonts w:ascii="仿宋_GB2312" w:eastAsia="仿宋_GB2312" w:hAnsi="宋体" w:cs="Times New Roman" w:hint="eastAsia"/>
          <w:sz w:val="32"/>
          <w:szCs w:val="32"/>
          <w:vertAlign w:val="subscript"/>
        </w:rPr>
        <w:t>i</w:t>
      </w:r>
      <w:proofErr w:type="spellEnd"/>
      <w:r>
        <w:rPr>
          <w:rFonts w:ascii="仿宋_GB2312" w:eastAsia="仿宋_GB2312" w:hAnsi="宋体" w:cs="Times New Roman" w:hint="eastAsia"/>
          <w:sz w:val="32"/>
          <w:szCs w:val="32"/>
        </w:rPr>
        <w:t>=0.5</w:t>
      </w:r>
      <w:r>
        <w:rPr>
          <w:rFonts w:ascii="仿宋_GB2312" w:eastAsia="仿宋_GB2312" w:hAnsi="宋体" w:cs="Times New Roman" w:hint="eastAsia"/>
          <w:sz w:val="32"/>
          <w:szCs w:val="32"/>
          <w:vertAlign w:val="superscript"/>
        </w:rPr>
        <w:t>N-3</w:t>
      </w:r>
      <w:r>
        <w:rPr>
          <w:rFonts w:ascii="仿宋_GB2312" w:eastAsia="仿宋_GB2312" w:hAnsi="宋体" w:cs="Times New Roman" w:hint="eastAsia"/>
          <w:sz w:val="32"/>
          <w:szCs w:val="32"/>
        </w:rPr>
        <w:t>×0.2。</w:t>
      </w:r>
    </w:p>
    <w:p w:rsidR="00BF1EC7" w:rsidRDefault="001267E7">
      <w:pPr>
        <w:snapToGrid w:val="0"/>
        <w:spacing w:line="360" w:lineRule="auto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（其中N为作者总人数，</w:t>
      </w:r>
      <w:proofErr w:type="spellStart"/>
      <w:r>
        <w:rPr>
          <w:rFonts w:ascii="仿宋_GB2312" w:eastAsia="仿宋_GB2312" w:hAnsi="宋体" w:cs="Times New Roman" w:hint="eastAsia"/>
          <w:sz w:val="32"/>
          <w:szCs w:val="32"/>
        </w:rPr>
        <w:t>i</w:t>
      </w:r>
      <w:proofErr w:type="spellEnd"/>
      <w:r>
        <w:rPr>
          <w:rFonts w:ascii="仿宋_GB2312" w:eastAsia="仿宋_GB2312" w:hAnsi="宋体" w:cs="Times New Roman" w:hint="eastAsia"/>
          <w:sz w:val="32"/>
          <w:szCs w:val="32"/>
        </w:rPr>
        <w:t>为作者排序，a为合作因子）。</w:t>
      </w:r>
    </w:p>
    <w:p w:rsidR="00BF1EC7" w:rsidRDefault="001267E7">
      <w:pPr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九人以上合作的，前九人按总数九人套用上述公式；从第十作者开始，不予计算加分。</w:t>
      </w:r>
    </w:p>
    <w:p w:rsidR="00BF1EC7" w:rsidRDefault="00BF1EC7">
      <w:pPr>
        <w:spacing w:line="360" w:lineRule="auto"/>
        <w:rPr>
          <w:rFonts w:ascii="FangSong" w:hAnsi="FangSong" w:hint="eastAsia"/>
          <w:sz w:val="30"/>
          <w:szCs w:val="30"/>
        </w:rPr>
      </w:pPr>
    </w:p>
    <w:p w:rsidR="00BF1EC7" w:rsidRDefault="00BF1EC7">
      <w:pPr>
        <w:spacing w:line="360" w:lineRule="auto"/>
        <w:rPr>
          <w:rFonts w:ascii="FangSong" w:hAnsi="FangSong" w:hint="eastAsia"/>
          <w:sz w:val="30"/>
          <w:szCs w:val="30"/>
        </w:rPr>
      </w:pPr>
    </w:p>
    <w:p w:rsidR="00BF1EC7" w:rsidRDefault="00BF1EC7">
      <w:pPr>
        <w:spacing w:line="360" w:lineRule="auto"/>
        <w:rPr>
          <w:rFonts w:ascii="FangSong" w:hAnsi="FangSong" w:hint="eastAsia"/>
          <w:sz w:val="30"/>
          <w:szCs w:val="30"/>
        </w:rPr>
      </w:pPr>
    </w:p>
    <w:p w:rsidR="00BF1EC7" w:rsidRDefault="00BF1EC7">
      <w:pPr>
        <w:spacing w:line="360" w:lineRule="auto"/>
        <w:rPr>
          <w:rFonts w:ascii="FangSong" w:hAnsi="FangSong" w:hint="eastAsia"/>
          <w:sz w:val="30"/>
          <w:szCs w:val="30"/>
        </w:rPr>
      </w:pPr>
    </w:p>
    <w:sectPr w:rsidR="00BF1EC7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微软雅黑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Heiti SC Medium">
    <w:panose1 w:val="00000000000000000000"/>
    <w:charset w:val="80"/>
    <w:family w:val="auto"/>
    <w:pitch w:val="variable"/>
    <w:sig w:usb0="8000002F" w:usb1="0807004A" w:usb2="00000010" w:usb3="00000000" w:csb0="003E0001" w:csb1="00000000"/>
  </w:font>
  <w:font w:name="方正小标宋简体">
    <w:altName w:val="微软雅黑"/>
    <w:panose1 w:val="020B0604020202020204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微软雅黑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FangSong">
    <w:altName w:val="Cambria"/>
    <w:panose1 w:val="02010609060101010101"/>
    <w:charset w:val="00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C7"/>
    <w:rsid w:val="001267E7"/>
    <w:rsid w:val="005A75C0"/>
    <w:rsid w:val="00BF1EC7"/>
    <w:rsid w:val="00D7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65D949"/>
  <w15:docId w15:val="{261EFACC-68E6-FF41-864A-C98086D2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1267E7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1267E7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8</cp:revision>
  <dcterms:created xsi:type="dcterms:W3CDTF">2020-05-18T14:45:00Z</dcterms:created>
  <dcterms:modified xsi:type="dcterms:W3CDTF">2020-05-25T02:19:00Z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2052-10.5.1</vt:lpwstr>
  </property>
</Properties>
</file>